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SAT Preparation: ELA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First Day Student Task List </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u w:val="single"/>
          <w:rtl w:val="0"/>
        </w:rPr>
        <w:t xml:space="preserve">Task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Visit and bookmark my teacher page jkind.weebly.com and bookmark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u w:val="single"/>
          <w:rtl w:val="0"/>
        </w:rPr>
        <w:t xml:space="preserve">Task 2: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Sign up for the required accounts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Required Accounts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Khanacademy.org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Khan Academy offers practice exercises, instructional videos, and a personalized learning dashboard that empowers learners to study at their own pace in and outside of the classroom. In this class, we will utilize this resource for personalized instructions and lessons and tests that will assist you in identifying and strengthening your abilities in test taking and essay writing for the SAT.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Registration</w:t>
      </w:r>
      <w:r w:rsidDel="00000000" w:rsidR="00000000" w:rsidRPr="00000000">
        <w:rPr>
          <w:rFonts w:ascii="Cambria" w:cs="Cambria" w:eastAsia="Cambria" w:hAnsi="Cambria"/>
          <w:rtl w:val="0"/>
        </w:rPr>
        <w:t xml:space="preserv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Make sure you are logged into your Gull Lake Google Account.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Sign up at khanacademy.org (or log in if you already have an account).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Visit khanacademy.org/coaches (the “Coaches” tab in your profile).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 the “Add a coach” field, enter the class code.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Class code is found on my teacher website under the Test Prep Page.  You’re set. Now click Home to start learning!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Collegeboard.org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For the preparation of the PSAT, you were instructed to create a collegeboard.org account (If you have not done so, you will create an account for this class). Collegeboard.org is a website that will give you your test scores for both the PSAT and the SAT--providing you with a breakdown of your scores along with you strenths and weaknesses to help you accieve a better score next-time. I suggest that you do not use your GLHS email because once you graduate, you will not be able to access your scores. It will also direct you to helpful resources for preparing for your test.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If you have not created an account, please complete the following registration:</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Click on the following link: </w:t>
      </w:r>
    </w:p>
    <w:p w:rsidR="00000000" w:rsidDel="00000000" w:rsidP="00000000" w:rsidRDefault="00000000" w:rsidRPr="00000000">
      <w:pPr>
        <w:contextualSpacing w:val="0"/>
      </w:pPr>
      <w:hyperlink r:id="rId5">
        <w:r w:rsidDel="00000000" w:rsidR="00000000" w:rsidRPr="00000000">
          <w:rPr>
            <w:rFonts w:ascii="Cambria" w:cs="Cambria" w:eastAsia="Cambria" w:hAnsi="Cambria"/>
            <w:color w:val="1155cc"/>
            <w:u w:val="single"/>
            <w:rtl w:val="0"/>
          </w:rPr>
          <w:t xml:space="preserve">https://student.collegeboard.org/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Click “Sign up for an account”</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**Make sure to use the same email address that you put on your PSAT test (this way you will be able to see the scores online at the end of December).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Once you have finished these tasks begin working on the Reading Diagnostic Quizzes under SAT Test Prep on Khan Academy.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student.collegeboard.org/" TargetMode="External"/></Relationships>
</file>